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I. FORMULARIO SEMILLERO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6465"/>
        <w:tblGridChange w:id="0">
          <w:tblGrid>
            <w:gridCol w:w="3000"/>
            <w:gridCol w:w="6465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Propuesta de Semillero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Instituto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Estudios para el Desarrollo Productivo y la Innovación (IDEPI)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6"/>
                <w:szCs w:val="26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Núcleo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6"/>
                <w:szCs w:val="26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vertAlign w:val="superscript"/>
                <w:rtl w:val="0"/>
              </w:rPr>
              <w:t xml:space="preserve">Biociencias 1), 2) o 3) (elegir uno según corresponda)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Título del 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semillero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Director/a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Responsables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Día y horario de encuentro del semillero 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(frecuencia  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quincenal)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-1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Resumen de la propuesta de semillero (hasta 200 palabras)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Ind w:w="-12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Objetivos (hasta 500 palabras)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Fundamentación de la propuesta (hasta 1500 palabras)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12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 Bibliografía de la fundamentación (formato APA)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0.0" w:type="dxa"/>
        <w:jc w:val="left"/>
        <w:tblInd w:w="-1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 Contenidos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(organizados por unidades. No incluir unidades que no se reflejen en el cronograma)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85.0" w:type="dxa"/>
        <w:jc w:val="left"/>
        <w:tblInd w:w="-1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 Bibliografía obligatoria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(organizada por unidades. No incluir unidades que no se reflejen en el cronograma)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85.0" w:type="dxa"/>
        <w:jc w:val="left"/>
        <w:tblInd w:w="-1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 Metodología de trabajo (hasta 1000 palabras)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Ind w:w="-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 Cronograma de encuentros y actividades para desarrollar los contenidos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Ind w:w="-1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7215"/>
        <w:tblGridChange w:id="0">
          <w:tblGrid>
            <w:gridCol w:w="2415"/>
            <w:gridCol w:w="721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Mes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20" w:w="11900" w:orient="portrait"/>
      <w:pgMar w:bottom="1133" w:top="1700" w:left="1303" w:right="130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Núcleo BIOCIENCIAS: </w:t>
      </w:r>
      <w:r w:rsidDel="00000000" w:rsidR="00000000" w:rsidRPr="00000000">
        <w:rPr>
          <w:sz w:val="20"/>
          <w:szCs w:val="20"/>
          <w:rtl w:val="0"/>
        </w:rPr>
        <w:t xml:space="preserve">1) Investigación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básica y clínica en salud, 2) Salud, producción y ambiente o 3) Investigación epidemiológica con enfoque de curso de vida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447925" cy="6667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47925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6510980" cy="381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098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3676650</wp:posOffset>
          </wp:positionH>
          <wp:positionV relativeFrom="paragraph">
            <wp:posOffset>114300</wp:posOffset>
          </wp:positionV>
          <wp:extent cx="2560838" cy="509588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0838" cy="509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Uazno+W++151U2TiGn4ZT2TUQ==">CgMxLjA4AHIhMVF2THlmZU1iQlQxaF9GNFVaWjNoazFHQTRpVXRTZXRl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